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b/>
          <w:color w:val="31849B"/>
          <w:sz w:val="28"/>
          <w:szCs w:val="28"/>
        </w:rPr>
        <w:id w:val="1548480459"/>
        <w:docPartObj>
          <w:docPartGallery w:val="Cover Pages"/>
          <w:docPartUnique/>
        </w:docPartObj>
      </w:sdtPr>
      <w:sdtEndPr>
        <w:rPr>
          <w:sz w:val="44"/>
          <w:szCs w:val="44"/>
        </w:rPr>
      </w:sdtEndPr>
      <w:sdtContent>
        <w:p w14:paraId="2CEC8DC2" w14:textId="77777777" w:rsidR="00A16302" w:rsidRPr="00980F39" w:rsidRDefault="00A16302" w:rsidP="00534C15">
          <w:pPr>
            <w:rPr>
              <w:sz w:val="2"/>
              <w:szCs w:val="2"/>
            </w:rPr>
          </w:pPr>
        </w:p>
        <w:p w14:paraId="71D646A3" w14:textId="721270CC" w:rsidR="00901AFC" w:rsidRDefault="00DB7C2F" w:rsidP="00901AFC">
          <w:pPr>
            <w:pStyle w:val="Title"/>
            <w:ind w:left="1440"/>
            <w:jc w:val="left"/>
          </w:pPr>
          <w:r>
            <w:t>Intravenous Fluid (IV)</w:t>
          </w:r>
          <w:r w:rsidR="00901AFC">
            <w:t xml:space="preserve"> </w:t>
          </w:r>
          <w:r w:rsidR="00EC497B">
            <w:t>P</w:t>
          </w:r>
          <w:r>
            <w:t>reparation</w:t>
          </w:r>
          <w:r w:rsidR="00901AFC">
            <w:t xml:space="preserve"> and Management</w:t>
          </w:r>
          <w:r w:rsidR="00EC497B">
            <w:t>.</w:t>
          </w:r>
        </w:p>
      </w:sdtContent>
    </w:sdt>
    <w:p w14:paraId="62F6347E" w14:textId="5FC6542D" w:rsidR="00A448D2" w:rsidRPr="00DB7C2F" w:rsidRDefault="00901AFC" w:rsidP="00DB7C2F">
      <w:pPr>
        <w:pStyle w:val="Title"/>
      </w:pPr>
      <w:r>
        <w:lastRenderedPageBreak/>
        <w:t xml:space="preserve"> </w:t>
      </w:r>
    </w:p>
    <w:p w14:paraId="1A48ADED" w14:textId="2C6E2EBC" w:rsidR="00A16302" w:rsidRPr="00DC1B7C" w:rsidRDefault="00DB7C2F" w:rsidP="00DC1B7C">
      <w:pPr>
        <w:pStyle w:val="Heading1"/>
      </w:pPr>
      <w:r>
        <w:t>Intravenous Fluid (IV) preparation</w:t>
      </w:r>
      <w:r w:rsidR="006D36E8">
        <w:t xml:space="preserve"> and management.</w:t>
      </w:r>
    </w:p>
    <w:p w14:paraId="23C3D567" w14:textId="040147DD" w:rsidR="00DB7C2F" w:rsidRPr="00DB7C2F" w:rsidRDefault="00DB7C2F" w:rsidP="00B83564">
      <w:pPr>
        <w:pStyle w:val="Heading2"/>
      </w:pPr>
      <w:r>
        <w:t>Aseptic Technique and IV Therapy</w:t>
      </w:r>
    </w:p>
    <w:p w14:paraId="53763167" w14:textId="4B306D1A" w:rsidR="00F367C7" w:rsidRDefault="0026131A" w:rsidP="00582342">
      <w:pPr>
        <w:spacing w:after="0"/>
      </w:pPr>
      <w:r>
        <w:t>Aseptic Technique must be implemented during the preparation and administration of a</w:t>
      </w:r>
      <w:r w:rsidR="00F51DC9">
        <w:t>ll</w:t>
      </w:r>
      <w:r>
        <w:t xml:space="preserve"> </w:t>
      </w:r>
      <w:r w:rsidR="00B83564">
        <w:t>IV therap</w:t>
      </w:r>
      <w:r w:rsidR="00F51DC9">
        <w:t>ies</w:t>
      </w:r>
      <w:r w:rsidR="00B83564">
        <w:t>, including IV fluids and medications</w:t>
      </w:r>
      <w:r>
        <w:t xml:space="preserve">. </w:t>
      </w:r>
      <w:r w:rsidR="00582342">
        <w:t>Principles of Aseptic Technique when preparing and administering IV therapy include:</w:t>
      </w:r>
    </w:p>
    <w:p w14:paraId="08EC489C" w14:textId="38C00D4E" w:rsidR="00B83564" w:rsidRDefault="0026131A" w:rsidP="00582342">
      <w:pPr>
        <w:pStyle w:val="ListParagraph"/>
        <w:numPr>
          <w:ilvl w:val="0"/>
          <w:numId w:val="13"/>
        </w:numPr>
        <w:spacing w:line="240" w:lineRule="auto"/>
      </w:pPr>
      <w:r>
        <w:t xml:space="preserve">Hand hygiene must be performed before handling supplies, medications and IV solutions, and before preparing and administering medications. </w:t>
      </w:r>
    </w:p>
    <w:p w14:paraId="7A211E05" w14:textId="32725241" w:rsidR="0026131A" w:rsidRDefault="0026131A" w:rsidP="00582342">
      <w:pPr>
        <w:pStyle w:val="ListParagraph"/>
        <w:numPr>
          <w:ilvl w:val="0"/>
          <w:numId w:val="13"/>
        </w:numPr>
        <w:spacing w:line="240" w:lineRule="auto"/>
      </w:pPr>
      <w:r>
        <w:t>Storage and preparation of IV therapies must happen in a clean area and on a clean surface.</w:t>
      </w:r>
    </w:p>
    <w:p w14:paraId="7A169908" w14:textId="3046A32D" w:rsidR="0026131A" w:rsidRDefault="0026131A" w:rsidP="00582342">
      <w:pPr>
        <w:pStyle w:val="ListParagraph"/>
        <w:numPr>
          <w:ilvl w:val="0"/>
          <w:numId w:val="13"/>
        </w:numPr>
        <w:spacing w:line="240" w:lineRule="auto"/>
      </w:pPr>
      <w:r>
        <w:t>Catheter hubs, needle</w:t>
      </w:r>
      <w:r w:rsidR="00EA6A6C">
        <w:t>le</w:t>
      </w:r>
      <w:r>
        <w:t xml:space="preserve">ss connectors and injection ports must be disinfected and allowed to dry prior to </w:t>
      </w:r>
      <w:r w:rsidR="00EA6859">
        <w:t xml:space="preserve">each episode of </w:t>
      </w:r>
      <w:r>
        <w:t>access, using a disinfectant swab</w:t>
      </w:r>
      <w:r w:rsidR="00620AC0"/>
      <w:r w:rsidR="00620AC0">
        <w:instrText xml:space="preserve"/>
      </w:r>
      <w:r w:rsidR="00620AC0"/>
      <w:r w:rsidR="00620AC0" w:rsidRPr="00620AC0">
        <w:rPr>
          <w:noProof/>
          <w:vertAlign w:val="superscript"/>
        </w:rPr>
        <w:t>1</w:t>
      </w:r>
      <w:r w:rsidR="00620AC0"/>
      <w:r w:rsidR="002F1F3E">
        <w:t xml:space="preserve"> (see </w:t>
      </w:r>
      <w:r w:rsidR="002F1F3E" w:rsidRPr="002F1F3E">
        <w:rPr>
          <w:i/>
          <w:iCs/>
        </w:rPr>
        <w:t>active disinfection</w:t>
      </w:r>
      <w:r w:rsidR="002F1F3E">
        <w:t xml:space="preserve"> below)</w:t>
      </w:r>
      <w:r>
        <w:t xml:space="preserve">. </w:t>
      </w:r>
    </w:p>
    <w:p w14:paraId="08FAA123" w14:textId="65DF6F0D" w:rsidR="0026131A" w:rsidRDefault="00582342" w:rsidP="00582342">
      <w:pPr>
        <w:pStyle w:val="ListParagraph"/>
        <w:numPr>
          <w:ilvl w:val="0"/>
          <w:numId w:val="13"/>
        </w:numPr>
        <w:spacing w:line="240" w:lineRule="auto"/>
      </w:pPr>
      <w:r>
        <w:t>I</w:t>
      </w:r>
      <w:r w:rsidR="0026131A">
        <w:t xml:space="preserve">nfusion supplies (e.g., needles, </w:t>
      </w:r>
      <w:r w:rsidR="003B591F">
        <w:t>syringes,</w:t>
      </w:r>
      <w:r w:rsidR="0026131A">
        <w:t xml:space="preserve"> and administration sets) </w:t>
      </w:r>
      <w:r>
        <w:t xml:space="preserve">must not be used </w:t>
      </w:r>
      <w:r w:rsidR="0026131A">
        <w:t>for more than one patient.</w:t>
      </w:r>
    </w:p>
    <w:p w14:paraId="0362EFCB" w14:textId="52D770F4" w:rsidR="0026131A" w:rsidRDefault="0026131A" w:rsidP="00582342">
      <w:pPr>
        <w:pStyle w:val="ListParagraph"/>
        <w:numPr>
          <w:ilvl w:val="0"/>
          <w:numId w:val="13"/>
        </w:numPr>
        <w:spacing w:line="240" w:lineRule="auto"/>
      </w:pPr>
      <w:r>
        <w:t xml:space="preserve">Needles and syringes must be removed from the packaging by opening the packaging </w:t>
      </w:r>
      <w:r w:rsidR="00582342">
        <w:t xml:space="preserve">as designed </w:t>
      </w:r>
      <w:r>
        <w:t xml:space="preserve">and never tearing/ripping the packaging. </w:t>
      </w:r>
    </w:p>
    <w:p w14:paraId="7FF61471" w14:textId="44968C31" w:rsidR="00F51DC9" w:rsidRDefault="00901AFC" w:rsidP="00901AFC">
      <w:pPr>
        <w:pStyle w:val="Heading2"/>
      </w:pPr>
      <w:r>
        <w:t>Preparation of IV fluids</w:t>
      </w:r>
    </w:p>
    <w:p w14:paraId="615251BC" w14:textId="11D89F37" w:rsidR="0026131A" w:rsidRDefault="003B591F" w:rsidP="00EC497B">
      <w:pPr>
        <w:spacing w:after="0"/>
      </w:pPr>
      <w:r>
        <w:t>Pre-packaged IV fluid bags may be safely prepared and used within 24 hours, without risk of infection or contamination to the patient</w:t>
      </w:r>
      <w:r/>
      <w:r w:rsidR="00620AC0">
        <w:instrText xml:space="preserve"/>
      </w:r>
      <w:r w:rsidR="00620AC0"/>
      <w:r w:rsidR="00620AC0">
        <w:instrText xml:space="preserve"/>
      </w:r>
      <w:r w:rsidR="00620AC0"/>
      <w:r/>
      <w:r w:rsidR="00620AC0" w:rsidRPr="00620AC0">
        <w:rPr>
          <w:noProof/>
          <w:vertAlign w:val="superscript"/>
        </w:rPr>
        <w:t>2-4</w:t>
      </w:r>
      <w:r/>
      <w:r>
        <w:t xml:space="preserve">. </w:t>
      </w:r>
    </w:p>
    <w:p w14:paraId="5B0B50AF" w14:textId="0A2F8CF4" w:rsidR="00EC497B" w:rsidRDefault="00EC497B" w:rsidP="00EC497B">
      <w:pPr>
        <w:pStyle w:val="ListParagraph"/>
        <w:numPr>
          <w:ilvl w:val="0"/>
          <w:numId w:val="13"/>
        </w:numPr>
        <w:spacing w:after="0" w:line="240" w:lineRule="auto"/>
      </w:pPr>
      <w:r>
        <w:t>Hand hygiene must be performed prior to preparing/spiking an IV bag.</w:t>
      </w:r>
    </w:p>
    <w:p w14:paraId="4C605757" w14:textId="73714259" w:rsidR="00582342" w:rsidRDefault="00582342" w:rsidP="00EC497B">
      <w:pPr>
        <w:pStyle w:val="ListParagraph"/>
        <w:numPr>
          <w:ilvl w:val="0"/>
          <w:numId w:val="13"/>
        </w:numPr>
        <w:spacing w:after="0" w:line="240" w:lineRule="auto"/>
      </w:pPr>
      <w:r>
        <w:t>IV solutions must only be used for one patient and then discarded.</w:t>
      </w:r>
    </w:p>
    <w:p w14:paraId="3095B738" w14:textId="4FAD7CA8" w:rsidR="00901AFC" w:rsidRDefault="00582342" w:rsidP="00EC497B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IV fluid bags must not be used to obtain solutions for more than one patient. </w:t>
      </w:r>
    </w:p>
    <w:p w14:paraId="129F6B9F" w14:textId="3D021603" w:rsidR="00901AFC" w:rsidRDefault="00901AFC" w:rsidP="00901AFC">
      <w:pPr>
        <w:pStyle w:val="Heading2"/>
      </w:pPr>
      <w:r>
        <w:t>Administration of IV medications</w:t>
      </w:r>
    </w:p>
    <w:p w14:paraId="46F7CBEA" w14:textId="056221C0" w:rsidR="00582342" w:rsidRPr="00582342" w:rsidRDefault="00620AC0" w:rsidP="00620AC0">
      <w:pPr>
        <w:spacing w:after="0"/>
      </w:pPr>
      <w:r>
        <w:t>Hand hygiene and aseptic technique must be adhered to during catheter site care and when accessing the system</w:t>
      </w:r>
      <w:r/>
      <w:r>
        <w:instrText xml:space="preserve"/>
      </w:r>
      <w:r/>
      <w:r w:rsidRPr="00620AC0">
        <w:rPr>
          <w:noProof/>
          <w:vertAlign w:val="superscript"/>
        </w:rPr>
        <w:t>1</w:t>
      </w:r>
      <w:r/>
      <w:r>
        <w:t>. Principles include:</w:t>
      </w:r>
    </w:p>
    <w:p w14:paraId="28A28319" w14:textId="182B8057" w:rsidR="00620AC0" w:rsidRDefault="00620AC0" w:rsidP="00EC497B">
      <w:pPr>
        <w:pStyle w:val="ListParagraph"/>
        <w:numPr>
          <w:ilvl w:val="0"/>
          <w:numId w:val="13"/>
        </w:numPr>
        <w:spacing w:line="240" w:lineRule="auto"/>
      </w:pPr>
      <w:r>
        <w:t xml:space="preserve">Hand hygiene must be performed prior to accessing the IV line or hub. </w:t>
      </w:r>
    </w:p>
    <w:p w14:paraId="0C549C85" w14:textId="798B0D66" w:rsidR="00582342" w:rsidRDefault="00582342" w:rsidP="00EC497B">
      <w:pPr>
        <w:pStyle w:val="ListParagraph"/>
        <w:numPr>
          <w:ilvl w:val="0"/>
          <w:numId w:val="13"/>
        </w:numPr>
        <w:spacing w:line="240" w:lineRule="auto"/>
      </w:pPr>
      <w:r>
        <w:t xml:space="preserve">Catheter hubs, needless connectors and injection ports must be </w:t>
      </w:r>
      <w:r w:rsidR="00620AC0">
        <w:t xml:space="preserve">scrubbed using a disinfectant swab and allowed to dry, </w:t>
      </w:r>
      <w:r>
        <w:t>prior to accessing</w:t>
      </w:r>
      <w:r w:rsidR="00620AC0">
        <w:t xml:space="preserve"> or attaching another line</w:t>
      </w:r>
      <w:r w:rsidR="00620AC0"/>
      <w:r w:rsidR="00620AC0">
        <w:instrText xml:space="preserve"/>
      </w:r>
      <w:r w:rsidR="00620AC0"/>
      <w:r w:rsidR="00620AC0" w:rsidRPr="00620AC0">
        <w:rPr>
          <w:noProof/>
          <w:vertAlign w:val="superscript"/>
        </w:rPr>
        <w:t>1</w:t>
      </w:r>
      <w:r w:rsidR="00620AC0"/>
      <w:r w:rsidR="00620AC0">
        <w:t xml:space="preserve">. </w:t>
      </w:r>
    </w:p>
    <w:p w14:paraId="77EFED2F" w14:textId="1C1CEACE" w:rsidR="00EA6859" w:rsidRDefault="00EA6859" w:rsidP="00EA6859">
      <w:pPr>
        <w:pStyle w:val="ListParagraph"/>
        <w:numPr>
          <w:ilvl w:val="0"/>
          <w:numId w:val="13"/>
        </w:numPr>
        <w:spacing w:line="240" w:lineRule="auto"/>
      </w:pPr>
      <w:r>
        <w:t xml:space="preserve">Avoid disconnection of primary and secondary administration sets whenever possible. </w:t>
      </w:r>
    </w:p>
    <w:p w14:paraId="7191C8CB" w14:textId="40903938" w:rsidR="00620AC0" w:rsidRDefault="00620AC0" w:rsidP="00EC497B">
      <w:pPr>
        <w:pStyle w:val="ListParagraph"/>
        <w:numPr>
          <w:ilvl w:val="0"/>
          <w:numId w:val="13"/>
        </w:numPr>
        <w:spacing w:line="240" w:lineRule="auto"/>
      </w:pPr>
      <w:r>
        <w:t xml:space="preserve">Administration sets must be replaced when disconnected from the hub or </w:t>
      </w:r>
      <w:r w:rsidR="00EC497B">
        <w:t xml:space="preserve">the </w:t>
      </w:r>
      <w:r>
        <w:t xml:space="preserve">catheter is changed. </w:t>
      </w:r>
    </w:p>
    <w:p w14:paraId="3910D67C" w14:textId="028F8D22" w:rsidR="002F1F3E" w:rsidRDefault="002F1F3E" w:rsidP="00EA6859">
      <w:pPr>
        <w:spacing w:line="240" w:lineRule="auto"/>
        <w:ind w:left="360"/>
      </w:pPr>
    </w:p>
    <w:p w14:paraId="5A018B2D" w14:textId="68726AAA" w:rsidR="00582342" w:rsidRDefault="00582342" w:rsidP="00EC497B">
      <w:pPr>
        <w:pStyle w:val="ListParagraph"/>
        <w:numPr>
          <w:ilvl w:val="0"/>
          <w:numId w:val="13"/>
        </w:numPr>
        <w:spacing w:line="240" w:lineRule="auto"/>
      </w:pPr>
      <w:r>
        <w:lastRenderedPageBreak/>
        <w:t>The rubber stopper on medication vials must be disinfected before inserting a needle</w:t>
      </w:r>
      <w:r w:rsidR="00EC497B"/>
      <w:r w:rsidR="00EC497B">
        <w:instrText xml:space="preserve"/>
      </w:r>
      <w:r w:rsidR="00EC497B"/>
      <w:r w:rsidR="00EC497B" w:rsidRPr="00EC497B">
        <w:rPr>
          <w:noProof/>
          <w:vertAlign w:val="superscript"/>
        </w:rPr>
        <w:t>2</w:t>
      </w:r>
      <w:r w:rsidR="00EC497B"/>
      <w:r>
        <w:t xml:space="preserve">. </w:t>
      </w:r>
    </w:p>
    <w:p w14:paraId="41039718" w14:textId="51AD5FD9" w:rsidR="00901AFC" w:rsidRDefault="00582342" w:rsidP="00B83564">
      <w:pPr>
        <w:pStyle w:val="ListParagraph"/>
        <w:numPr>
          <w:ilvl w:val="0"/>
          <w:numId w:val="13"/>
        </w:numPr>
        <w:spacing w:line="240" w:lineRule="auto"/>
      </w:pPr>
      <w:r>
        <w:t xml:space="preserve">Needles and syringes must be removed from the packaging by opening the </w:t>
      </w:r>
      <w:r w:rsidR="00EC497B">
        <w:t>packaging</w:t>
      </w:r>
      <w:r>
        <w:t xml:space="preserve"> and never tearing/ripping the packaging. </w:t>
      </w:r>
    </w:p>
    <w:p w14:paraId="5860AEF0" w14:textId="37712741" w:rsidR="002F1F3E" w:rsidRDefault="002F1F3E" w:rsidP="002F1F3E">
      <w:pPr>
        <w:pStyle w:val="Heading2"/>
      </w:pPr>
      <w:r>
        <w:t>Active disinfection</w:t>
      </w:r>
    </w:p>
    <w:p w14:paraId="5B452033" w14:textId="0D406C24" w:rsidR="00EA6859" w:rsidRDefault="002F1F3E" w:rsidP="002F1F3E">
      <w:r>
        <w:t xml:space="preserve">Active disinfection is the use of a disinfectant to physically scrub the </w:t>
      </w:r>
      <w:r w:rsidR="00EA6859">
        <w:t xml:space="preserve">needleless </w:t>
      </w:r>
      <w:r>
        <w:t>hub or site prior to access, this is often referred to as “scrub the hub”</w:t>
      </w:r>
      <w:r/>
      <w:r>
        <w:instrText xml:space="preserve"/>
      </w:r>
      <w:r/>
      <w:r w:rsidRPr="002F1F3E">
        <w:rPr>
          <w:noProof/>
          <w:vertAlign w:val="superscript"/>
        </w:rPr>
        <w:t>5</w:t>
      </w:r>
      <w:r/>
      <w:r>
        <w:t xml:space="preserve">.  </w:t>
      </w:r>
      <w:r w:rsidR="00EA6859">
        <w:t>To minimise the risk of microbial contamination a</w:t>
      </w:r>
      <w:r>
        <w:t xml:space="preserve"> 70% alcohol wipe is the preferred application </w:t>
      </w:r>
      <w:r w:rsidR="00EA6859">
        <w:t>for active disifnection</w:t>
      </w:r>
      <w:r/>
      <w:r>
        <w:instrText xml:space="preserve"/>
      </w:r>
      <w:r/>
      <w:r w:rsidRPr="002F1F3E">
        <w:rPr>
          <w:noProof/>
          <w:vertAlign w:val="superscript"/>
        </w:rPr>
        <w:t>1</w:t>
      </w:r>
      <w:r/>
      <w:r>
        <w:t xml:space="preserve">. </w:t>
      </w:r>
      <w:r w:rsidR="00EA6859">
        <w:t>Studies have demonstrated variable times of decontamination between 5 – 15 seconds</w:t>
      </w:r>
      <w:r w:rsidR="00EA6859"/>
      <w:r w:rsidR="00EA6859">
        <w:instrText xml:space="preserve"/>
      </w:r>
      <w:r w:rsidR="00EA6859"/>
      <w:r w:rsidR="00EA6859" w:rsidRPr="00EA6859">
        <w:rPr>
          <w:noProof/>
          <w:vertAlign w:val="superscript"/>
        </w:rPr>
        <w:t>5</w:t>
      </w:r>
      <w:r w:rsidR="00EA6859"/>
      <w:r w:rsidR="00EA6859">
        <w:t>. Drying time is essential to reduce the microbial load of the needleless hub, and has been observed to be 5 seconds for 70% alcohol, and 20 seconds for chlorhexidine and alcohol preparations, however, drying time is dependent on the temperature and humidity of the environment</w:t>
      </w:r>
      <w:r w:rsidR="00EA6859"/>
      <w:r w:rsidR="00EA6859">
        <w:instrText xml:space="preserve"/>
      </w:r>
      <w:r w:rsidR="00EA6859"/>
      <w:r w:rsidR="00EA6859" w:rsidRPr="00EA6859">
        <w:rPr>
          <w:noProof/>
          <w:vertAlign w:val="superscript"/>
        </w:rPr>
        <w:t>5</w:t>
      </w:r>
      <w:r w:rsidR="00EA6859"/>
      <w:r w:rsidR="00EA6859">
        <w:t xml:space="preserve">. </w:t>
      </w:r>
    </w:p>
    <w:p w14:paraId="322CC003" w14:textId="7C881070" w:rsidR="002F1F3E" w:rsidRPr="002F1F3E" w:rsidRDefault="002F1F3E" w:rsidP="002F1F3E">
      <w:pPr>
        <w:rPr>
          <w:b/>
          <w:bCs/>
        </w:rPr>
      </w:pPr>
    </w:p>
    <w:p w14:paraId="7ED4BEE5" w14:textId="1B7D9D28" w:rsidR="002F1F3E" w:rsidRDefault="002F1F3E" w:rsidP="002F1F3E">
      <w:pPr>
        <w:spacing w:line="240" w:lineRule="auto"/>
      </w:pPr>
    </w:p>
    <w:p w14:paraId="74114718" w14:textId="77777777" w:rsidR="00EA6859" w:rsidRDefault="00EA685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DAB021F" w14:textId="1C689B0F" w:rsidR="00AE6E3D" w:rsidRPr="00EC497B" w:rsidRDefault="00AE6E3D" w:rsidP="00EC497B">
      <w:pPr>
        <w:spacing w:after="0" w:line="24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EC497B">
        <w:rPr>
          <w:b/>
          <w:bCs/>
          <w:sz w:val="28"/>
          <w:szCs w:val="28"/>
        </w:rPr>
        <w:lastRenderedPageBreak/>
        <w:t xml:space="preserve">References </w:t>
      </w:r>
    </w:p>
    <w:p w14:paraId="06A8E465" w14:textId="77777777" w:rsidR="00EA6859" w:rsidRPr="00EA6859" w:rsidRDefault="003B591F" w:rsidP="00EA6859">
      <w:pPr>
        <w:pStyle w:val="EndNoteBibliography"/>
        <w:spacing w:after="0"/>
        <w:ind w:left="720" w:hanging="720"/>
        <w:rPr>
          <w:noProof/>
        </w:rPr>
      </w:pPr>
      <w:r/>
      <w:r>
        <w:instrText xml:space="preserve"/>
      </w:r>
      <w:r/>
      <w:r w:rsidR="00EA6859" w:rsidRPr="00EA6859">
        <w:rPr>
          <w:noProof/>
        </w:rPr>
        <w:t>1.</w:t>
      </w:r>
      <w:r w:rsidR="00EA6859" w:rsidRPr="00EA6859">
        <w:rPr>
          <w:noProof/>
        </w:rPr>
        <w:tab/>
        <w:t xml:space="preserve">National Health and Medical Research Council (NHMRC). </w:t>
      </w:r>
      <w:r w:rsidR="00EA6859" w:rsidRPr="00EA6859">
        <w:rPr>
          <w:i/>
          <w:noProof/>
        </w:rPr>
        <w:t>Australian Guidelines for the Prevention and Control of Infection in Healthcare</w:t>
      </w:r>
      <w:r w:rsidR="00EA6859" w:rsidRPr="00EA6859">
        <w:rPr>
          <w:noProof/>
        </w:rPr>
        <w:t>. National health and Medical Research Council; 2019.</w:t>
      </w:r>
    </w:p>
    <w:p w14:paraId="40C67225" w14:textId="77777777" w:rsidR="00EA6859" w:rsidRPr="00EA6859" w:rsidRDefault="00EA6859" w:rsidP="00EA6859">
      <w:pPr>
        <w:pStyle w:val="EndNoteBibliography"/>
        <w:spacing w:after="0"/>
        <w:ind w:left="720" w:hanging="720"/>
        <w:rPr>
          <w:noProof/>
        </w:rPr>
      </w:pPr>
      <w:r w:rsidRPr="00EA6859">
        <w:rPr>
          <w:noProof/>
        </w:rPr>
        <w:t>2.</w:t>
      </w:r>
      <w:r w:rsidRPr="00EA6859">
        <w:rPr>
          <w:noProof/>
        </w:rPr>
        <w:tab/>
        <w:t>American Society of Anesthesiologists. Statement on Intravenous (IV) Fluid Bag Spiking. Standards and Practice Parameters. Washington, D.C.: American Society of Anesthesiologists; 2023, .</w:t>
      </w:r>
    </w:p>
    <w:p w14:paraId="030F9BF2" w14:textId="77777777" w:rsidR="00EA6859" w:rsidRPr="00EA6859" w:rsidRDefault="00EA6859" w:rsidP="00EA6859">
      <w:pPr>
        <w:pStyle w:val="EndNoteBibliography"/>
        <w:spacing w:after="0"/>
        <w:ind w:left="720" w:hanging="720"/>
        <w:rPr>
          <w:noProof/>
        </w:rPr>
      </w:pPr>
      <w:r w:rsidRPr="00EA6859">
        <w:rPr>
          <w:noProof/>
        </w:rPr>
        <w:t>3.</w:t>
      </w:r>
      <w:r w:rsidRPr="00EA6859">
        <w:rPr>
          <w:noProof/>
        </w:rPr>
        <w:tab/>
        <w:t xml:space="preserve">Stedman JL, Yarmush JM, Joshi MC, Kamath S, Schianodicola J. How Long Is Too Long? The Prespiked Intravenous Debate. </w:t>
      </w:r>
      <w:r w:rsidRPr="00EA6859">
        <w:rPr>
          <w:i/>
          <w:noProof/>
        </w:rPr>
        <w:t>Anesth Analg</w:t>
      </w:r>
      <w:r w:rsidRPr="00EA6859">
        <w:rPr>
          <w:noProof/>
        </w:rPr>
        <w:t>. May 2017;124(5):1564-1568. doi:10.1213/ane.0000000000001951</w:t>
      </w:r>
    </w:p>
    <w:p w14:paraId="163F9CFE" w14:textId="77777777" w:rsidR="00EA6859" w:rsidRPr="00EA6859" w:rsidRDefault="00EA6859" w:rsidP="00EA6859">
      <w:pPr>
        <w:pStyle w:val="EndNoteBibliography"/>
        <w:spacing w:after="0"/>
        <w:ind w:left="720" w:hanging="720"/>
        <w:rPr>
          <w:noProof/>
        </w:rPr>
      </w:pPr>
      <w:r w:rsidRPr="00EA6859">
        <w:rPr>
          <w:noProof/>
        </w:rPr>
        <w:t>4.</w:t>
      </w:r>
      <w:r w:rsidRPr="00EA6859">
        <w:rPr>
          <w:noProof/>
        </w:rPr>
        <w:tab/>
        <w:t xml:space="preserve">Baronos S, Yarmush JM, Stedman JL, Kamath S, Xavier C, Ahmed K. Normal Saline and Dextrose 5% in Water Do Not Support Bacterial Growth 24 Hours After Being Spiked in the Perioperative Environment. </w:t>
      </w:r>
      <w:r w:rsidRPr="00EA6859">
        <w:rPr>
          <w:i/>
          <w:noProof/>
        </w:rPr>
        <w:t>Anesth Analg</w:t>
      </w:r>
      <w:r w:rsidRPr="00EA6859">
        <w:rPr>
          <w:noProof/>
        </w:rPr>
        <w:t>. Jun 2019;128(6):1185-1187. doi:10.1213/ane.0000000000004171</w:t>
      </w:r>
    </w:p>
    <w:p w14:paraId="16CD722D" w14:textId="77777777" w:rsidR="00EA6859" w:rsidRPr="00EA6859" w:rsidRDefault="00EA6859" w:rsidP="00EA6859">
      <w:pPr>
        <w:pStyle w:val="EndNoteBibliography"/>
        <w:ind w:left="720" w:hanging="720"/>
        <w:rPr>
          <w:noProof/>
        </w:rPr>
      </w:pPr>
      <w:r w:rsidRPr="00EA6859">
        <w:rPr>
          <w:noProof/>
        </w:rPr>
        <w:t>5.</w:t>
      </w:r>
      <w:r w:rsidRPr="00EA6859">
        <w:rPr>
          <w:noProof/>
        </w:rPr>
        <w:tab/>
        <w:t xml:space="preserve">Nickel B, Gorski L, Kleidon T, et al. Infusion Therapy Standards of Practice, 9th Edition. </w:t>
      </w:r>
      <w:r w:rsidRPr="00EA6859">
        <w:rPr>
          <w:i/>
          <w:noProof/>
        </w:rPr>
        <w:t>J Infus Nurs</w:t>
      </w:r>
      <w:r w:rsidRPr="00EA6859">
        <w:rPr>
          <w:noProof/>
        </w:rPr>
        <w:t>. Jan-Feb 01 2024;47(1S Suppl 1):S1-s285. doi:10.1097/nan.0000000000000532</w:t>
      </w:r>
    </w:p>
    <w:p w14:paraId="6EB85BF3" w14:textId="585382CA" w:rsidR="00534C15" w:rsidRDefault="003B591F" w:rsidP="00534C15">
      <w:r/>
    </w:p>
    <w:p w14:paraId="0759E629" w14:textId="77777777" w:rsidR="003B591F" w:rsidRDefault="003B591F" w:rsidP="00534C15"/>
    <w:p w14:paraId="7AFFA0D6" w14:textId="77777777" w:rsidR="003B591F" w:rsidRDefault="003B591F" w:rsidP="00534C15"/>
    <w:p w14:paraId="56162C3B" w14:textId="77777777" w:rsidR="003B591F" w:rsidRDefault="003B591F" w:rsidP="00534C15"/>
    <w:p w14:paraId="18F554E1" w14:textId="77777777" w:rsidR="003B591F" w:rsidRDefault="003B591F" w:rsidP="00534C15"/>
    <w:p w14:paraId="542863F2" w14:textId="77777777" w:rsidR="003B591F" w:rsidRPr="00097EC5" w:rsidRDefault="003B591F" w:rsidP="003B591F">
      <w:pPr>
        <w:pStyle w:val="Heading2"/>
        <w:rPr>
          <w:lang w:val="en-AU"/>
        </w:rPr>
      </w:pPr>
      <w:r>
        <w:rPr>
          <w:lang w:val="en-AU"/>
        </w:rPr>
        <w:t>Version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43"/>
        <w:gridCol w:w="999"/>
        <w:gridCol w:w="2709"/>
        <w:gridCol w:w="2465"/>
        <w:gridCol w:w="1901"/>
      </w:tblGrid>
      <w:tr w:rsidR="003B591F" w:rsidRPr="00F31022" w14:paraId="2DD883D0" w14:textId="77777777" w:rsidTr="00C15695">
        <w:tc>
          <w:tcPr>
            <w:tcW w:w="523" w:type="pct"/>
            <w:shd w:val="clear" w:color="auto" w:fill="000000" w:themeFill="text1"/>
          </w:tcPr>
          <w:p w14:paraId="2C8F2FE1" w14:textId="77777777" w:rsidR="003B591F" w:rsidRPr="00F31022" w:rsidRDefault="003B591F" w:rsidP="00C15695">
            <w:pPr>
              <w:pStyle w:val="NoSpacing"/>
              <w:rPr>
                <w:b/>
                <w:bCs/>
                <w:noProof/>
                <w:lang w:val="en-AU" w:eastAsia="en-AU"/>
              </w:rPr>
            </w:pPr>
            <w:r w:rsidRPr="00F31022">
              <w:rPr>
                <w:b/>
                <w:bCs/>
                <w:noProof/>
                <w:lang w:val="en-AU" w:eastAsia="en-AU"/>
              </w:rPr>
              <w:t>Version</w:t>
            </w:r>
          </w:p>
        </w:tc>
        <w:tc>
          <w:tcPr>
            <w:tcW w:w="554" w:type="pct"/>
            <w:shd w:val="clear" w:color="auto" w:fill="000000" w:themeFill="text1"/>
          </w:tcPr>
          <w:p w14:paraId="0C2C92F9" w14:textId="77777777" w:rsidR="003B591F" w:rsidRPr="00F31022" w:rsidRDefault="003B591F" w:rsidP="00C15695">
            <w:pPr>
              <w:pStyle w:val="NoSpacing"/>
              <w:rPr>
                <w:b/>
                <w:bCs/>
                <w:noProof/>
                <w:lang w:val="en-AU" w:eastAsia="en-AU"/>
              </w:rPr>
            </w:pPr>
            <w:r w:rsidRPr="00F31022">
              <w:rPr>
                <w:b/>
                <w:bCs/>
                <w:noProof/>
                <w:lang w:val="en-AU" w:eastAsia="en-AU"/>
              </w:rPr>
              <w:t>Date</w:t>
            </w:r>
          </w:p>
        </w:tc>
        <w:tc>
          <w:tcPr>
            <w:tcW w:w="1502" w:type="pct"/>
            <w:shd w:val="clear" w:color="auto" w:fill="000000" w:themeFill="text1"/>
          </w:tcPr>
          <w:p w14:paraId="250F11D5" w14:textId="77777777" w:rsidR="003B591F" w:rsidRPr="00F31022" w:rsidRDefault="003B591F" w:rsidP="00C15695">
            <w:pPr>
              <w:pStyle w:val="NoSpacing"/>
              <w:rPr>
                <w:b/>
                <w:bCs/>
                <w:noProof/>
                <w:lang w:val="en-AU" w:eastAsia="en-AU"/>
              </w:rPr>
            </w:pPr>
            <w:r w:rsidRPr="00F31022">
              <w:rPr>
                <w:b/>
                <w:bCs/>
                <w:noProof/>
                <w:lang w:val="en-AU" w:eastAsia="en-AU"/>
              </w:rPr>
              <w:t>Addition/Amendments</w:t>
            </w:r>
          </w:p>
        </w:tc>
        <w:tc>
          <w:tcPr>
            <w:tcW w:w="1367" w:type="pct"/>
            <w:shd w:val="clear" w:color="auto" w:fill="000000" w:themeFill="text1"/>
          </w:tcPr>
          <w:p w14:paraId="4E2BD4C5" w14:textId="77777777" w:rsidR="003B591F" w:rsidRPr="00F31022" w:rsidRDefault="003B591F" w:rsidP="00C15695">
            <w:pPr>
              <w:pStyle w:val="NoSpacing"/>
              <w:rPr>
                <w:b/>
                <w:bCs/>
                <w:noProof/>
                <w:lang w:val="en-AU" w:eastAsia="en-AU"/>
              </w:rPr>
            </w:pPr>
            <w:r w:rsidRPr="00F31022">
              <w:rPr>
                <w:b/>
                <w:bCs/>
                <w:noProof/>
                <w:lang w:val="en-AU" w:eastAsia="en-AU"/>
              </w:rPr>
              <w:t>Author</w:t>
            </w:r>
          </w:p>
        </w:tc>
        <w:tc>
          <w:tcPr>
            <w:tcW w:w="1054" w:type="pct"/>
            <w:shd w:val="clear" w:color="auto" w:fill="000000" w:themeFill="text1"/>
          </w:tcPr>
          <w:p w14:paraId="028E72D8" w14:textId="77777777" w:rsidR="003B591F" w:rsidRPr="00F31022" w:rsidRDefault="003B591F" w:rsidP="00C15695">
            <w:pPr>
              <w:pStyle w:val="NoSpacing"/>
              <w:rPr>
                <w:b/>
                <w:bCs/>
                <w:noProof/>
                <w:lang w:val="en-AU" w:eastAsia="en-AU"/>
              </w:rPr>
            </w:pPr>
            <w:r w:rsidRPr="00F31022">
              <w:rPr>
                <w:b/>
                <w:bCs/>
                <w:noProof/>
                <w:lang w:val="en-AU" w:eastAsia="en-AU"/>
              </w:rPr>
              <w:t>Review By</w:t>
            </w:r>
          </w:p>
        </w:tc>
      </w:tr>
      <w:tr w:rsidR="003B591F" w:rsidRPr="00097EC5" w14:paraId="35CAD961" w14:textId="77777777" w:rsidTr="00C15695">
        <w:tc>
          <w:tcPr>
            <w:tcW w:w="523" w:type="pct"/>
          </w:tcPr>
          <w:p w14:paraId="66459702" w14:textId="77777777" w:rsidR="003B591F" w:rsidRPr="00097EC5" w:rsidRDefault="003B591F" w:rsidP="00C15695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1.0</w:t>
            </w:r>
          </w:p>
        </w:tc>
        <w:tc>
          <w:tcPr>
            <w:tcW w:w="554" w:type="pct"/>
          </w:tcPr>
          <w:p w14:paraId="16BF0D68" w14:textId="7698700A" w:rsidR="003B591F" w:rsidRPr="00097EC5" w:rsidRDefault="00EC497B" w:rsidP="00C15695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3/2024</w:t>
            </w:r>
          </w:p>
        </w:tc>
        <w:tc>
          <w:tcPr>
            <w:tcW w:w="1502" w:type="pct"/>
          </w:tcPr>
          <w:p w14:paraId="3A7214EA" w14:textId="1D1DB499" w:rsidR="003B591F" w:rsidRPr="00097EC5" w:rsidRDefault="00EC497B" w:rsidP="00C15695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New document</w:t>
            </w:r>
          </w:p>
        </w:tc>
        <w:tc>
          <w:tcPr>
            <w:tcW w:w="1367" w:type="pct"/>
          </w:tcPr>
          <w:p w14:paraId="45992F72" w14:textId="04A7B820" w:rsidR="003B591F" w:rsidRPr="00097EC5" w:rsidRDefault="00EC497B" w:rsidP="00C15695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Infection Prevention CNC</w:t>
            </w:r>
          </w:p>
        </w:tc>
        <w:tc>
          <w:tcPr>
            <w:tcW w:w="1054" w:type="pct"/>
          </w:tcPr>
          <w:p w14:paraId="20BE0B79" w14:textId="465350D9" w:rsidR="003B591F" w:rsidRPr="00097EC5" w:rsidRDefault="00EC497B" w:rsidP="00C15695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PGC</w:t>
            </w:r>
          </w:p>
        </w:tc>
      </w:tr>
    </w:tbl>
    <w:p w14:paraId="4279C286" w14:textId="77777777" w:rsidR="003B591F" w:rsidRDefault="003B591F" w:rsidP="00534C15"/>
    <w:sectPr w:rsidR="003B591F" w:rsidSect="003D6DBC">
      <w:headerReference w:type="default" r:id="rId11"/>
      <w:footerReference w:type="default" r:id="rId12"/>
      <w:headerReference w:type="first" r:id="rId13"/>
      <w:pgSz w:w="11907" w:h="16839" w:code="9"/>
      <w:pgMar w:top="2127" w:right="1440" w:bottom="1560" w:left="1440" w:header="720" w:footer="98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56802" w14:textId="77777777" w:rsidR="003D6DBC" w:rsidRDefault="003D6DBC" w:rsidP="00534C15">
      <w:r>
        <w:separator/>
      </w:r>
    </w:p>
  </w:endnote>
  <w:endnote w:type="continuationSeparator" w:id="0">
    <w:p w14:paraId="23DECB4A" w14:textId="77777777" w:rsidR="003D6DBC" w:rsidRDefault="003D6DBC" w:rsidP="00534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01730" w14:textId="77777777" w:rsidR="00973F82" w:rsidRPr="00973F82" w:rsidRDefault="00973F82" w:rsidP="00F367C7">
    <w:pPr>
      <w:pStyle w:val="Footer"/>
      <w:jc w:val="right"/>
    </w:pPr>
    <w:r w:rsidRPr="00973F82">
      <w:t xml:space="preserve">Page </w:t>
    </w:r>
    <w:r w:rsidRPr="00973F82"/>
    <w:r w:rsidRPr="00973F82">
      <w:instrText xml:space="preserve"/>
    </w:r>
    <w:r w:rsidRPr="00973F82"/>
    <w:r w:rsidRPr="00973F82">
      <w:t>2</w:t>
    </w:r>
    <w:r w:rsidRPr="00973F82"/>
    <w:r w:rsidRPr="00973F82">
      <w:t xml:space="preserve"> of </w:t>
    </w:r>
    <w:r w:rsidR="002B4DBC"/>
    <w:r w:rsidR="002B4DBC">
      <w:instrText xml:space="preserve"/>
    </w:r>
    <w:r w:rsidR="002B4DBC"/>
    <w:r w:rsidRPr="00973F82">
      <w:t>4</w:t>
    </w:r>
    <w:r w:rsidR="002B4DBC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4E286" w14:textId="77777777" w:rsidR="003D6DBC" w:rsidRDefault="003D6DBC" w:rsidP="00534C15">
      <w:r>
        <w:separator/>
      </w:r>
    </w:p>
  </w:footnote>
  <w:footnote w:type="continuationSeparator" w:id="0">
    <w:p w14:paraId="0F21E92C" w14:textId="77777777" w:rsidR="003D6DBC" w:rsidRDefault="003D6DBC" w:rsidP="00534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43A49" w14:textId="77777777" w:rsidR="003A0154" w:rsidRDefault="004630DB" w:rsidP="00F367C7">
    <w:pPr>
      <w:pStyle w:val="Header"/>
      <w:tabs>
        <w:tab w:val="clear" w:pos="902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524A0A1E" wp14:editId="7D730AB2">
          <wp:simplePos x="0" y="0"/>
          <wp:positionH relativeFrom="margin">
            <wp:posOffset>-905510</wp:posOffset>
          </wp:positionH>
          <wp:positionV relativeFrom="margin">
            <wp:posOffset>-1343696</wp:posOffset>
          </wp:positionV>
          <wp:extent cx="7555653" cy="10679502"/>
          <wp:effectExtent l="0" t="0" r="7620" b="0"/>
          <wp:wrapNone/>
          <wp:docPr id="1709710139" name="Picture 1709710139" descr="A black background with circles and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1411323" name="Picture 1681411323" descr="A black background with circles and lin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653" cy="10679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154">
      <w:rPr>
        <w:noProof/>
        <w:lang w:eastAsia="en-AU"/>
      </w:rPr>
      <w:drawing>
        <wp:inline distT="0" distB="0" distL="0" distR="0" wp14:anchorId="416E3AC9" wp14:editId="3CD20F0E">
          <wp:extent cx="1401416" cy="576000"/>
          <wp:effectExtent l="0" t="0" r="8890" b="0"/>
          <wp:docPr id="835640190" name="Picture 835640190" descr="ACIPC_Logo_Colour_RGB_Hi_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CIPC_Logo_Colour_RGB_Hi_Re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06"/>
                  <a:stretch/>
                </pic:blipFill>
                <pic:spPr bwMode="auto">
                  <a:xfrm>
                    <a:off x="0" y="0"/>
                    <a:ext cx="1401416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367C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3F257" w14:textId="77777777" w:rsidR="00B2644F" w:rsidRPr="00B2644F" w:rsidRDefault="00980F39" w:rsidP="00B2644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98645A" wp14:editId="2E4EA97D">
          <wp:simplePos x="0" y="0"/>
          <wp:positionH relativeFrom="column">
            <wp:posOffset>-956921</wp:posOffset>
          </wp:positionH>
          <wp:positionV relativeFrom="paragraph">
            <wp:posOffset>-770255</wp:posOffset>
          </wp:positionV>
          <wp:extent cx="7628890" cy="8131175"/>
          <wp:effectExtent l="0" t="0" r="0" b="3175"/>
          <wp:wrapTight wrapText="bothSides">
            <wp:wrapPolygon edited="0">
              <wp:start x="0" y="0"/>
              <wp:lineTo x="0" y="21558"/>
              <wp:lineTo x="21521" y="21558"/>
              <wp:lineTo x="21521" y="0"/>
              <wp:lineTo x="0" y="0"/>
            </wp:wrapPolygon>
          </wp:wrapTight>
          <wp:docPr id="1923246964" name="Picture 192324696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Picture 76" descr="Background pattern&#10;&#10;Description automatically generated"/>
                  <pic:cNvPicPr/>
                </pic:nvPicPr>
                <pic:blipFill rotWithShape="1">
                  <a:blip r:embed="rId1"/>
                  <a:srcRect b="24654"/>
                  <a:stretch/>
                </pic:blipFill>
                <pic:spPr bwMode="auto">
                  <a:xfrm>
                    <a:off x="0" y="0"/>
                    <a:ext cx="7628890" cy="8131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678B"/>
    <w:multiLevelType w:val="hybridMultilevel"/>
    <w:tmpl w:val="3432E12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883DC5"/>
    <w:multiLevelType w:val="hybridMultilevel"/>
    <w:tmpl w:val="D8643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A60B4"/>
    <w:multiLevelType w:val="hybridMultilevel"/>
    <w:tmpl w:val="6B8E8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A1938"/>
    <w:multiLevelType w:val="hybridMultilevel"/>
    <w:tmpl w:val="515E01A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6493B"/>
    <w:multiLevelType w:val="multilevel"/>
    <w:tmpl w:val="5AFA870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</w:rPr>
    </w:lvl>
  </w:abstractNum>
  <w:abstractNum w:abstractNumId="5" w15:restartNumberingAfterBreak="0">
    <w:nsid w:val="49F02EDB"/>
    <w:multiLevelType w:val="hybridMultilevel"/>
    <w:tmpl w:val="0576DE76"/>
    <w:lvl w:ilvl="0" w:tplc="5D18BBC4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03293"/>
    <w:multiLevelType w:val="hybridMultilevel"/>
    <w:tmpl w:val="CF50D8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2A3859"/>
    <w:multiLevelType w:val="hybridMultilevel"/>
    <w:tmpl w:val="E604BEE4"/>
    <w:lvl w:ilvl="0" w:tplc="DBB8A946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A153BA"/>
    <w:multiLevelType w:val="hybridMultilevel"/>
    <w:tmpl w:val="1DD4AA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27536"/>
    <w:multiLevelType w:val="hybridMultilevel"/>
    <w:tmpl w:val="0720C3B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D73639"/>
    <w:multiLevelType w:val="hybridMultilevel"/>
    <w:tmpl w:val="C0BA351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7F1461B"/>
    <w:multiLevelType w:val="hybridMultilevel"/>
    <w:tmpl w:val="5B46E1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C2973"/>
    <w:multiLevelType w:val="multilevel"/>
    <w:tmpl w:val="D930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60034250">
    <w:abstractNumId w:val="4"/>
  </w:num>
  <w:num w:numId="2" w16cid:durableId="817301097">
    <w:abstractNumId w:val="0"/>
  </w:num>
  <w:num w:numId="3" w16cid:durableId="1456027619">
    <w:abstractNumId w:val="10"/>
  </w:num>
  <w:num w:numId="4" w16cid:durableId="696858892">
    <w:abstractNumId w:val="8"/>
  </w:num>
  <w:num w:numId="5" w16cid:durableId="946080775">
    <w:abstractNumId w:val="6"/>
  </w:num>
  <w:num w:numId="6" w16cid:durableId="1950776091">
    <w:abstractNumId w:val="12"/>
  </w:num>
  <w:num w:numId="7" w16cid:durableId="227421170">
    <w:abstractNumId w:val="9"/>
  </w:num>
  <w:num w:numId="8" w16cid:durableId="1708025415">
    <w:abstractNumId w:val="3"/>
  </w:num>
  <w:num w:numId="9" w16cid:durableId="1979216267">
    <w:abstractNumId w:val="5"/>
  </w:num>
  <w:num w:numId="10" w16cid:durableId="131872469">
    <w:abstractNumId w:val="1"/>
  </w:num>
  <w:num w:numId="11" w16cid:durableId="2100562843">
    <w:abstractNumId w:val="11"/>
  </w:num>
  <w:num w:numId="12" w16cid:durableId="523786130">
    <w:abstractNumId w:val="7"/>
  </w:num>
  <w:num w:numId="13" w16cid:durableId="2119450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A 11th (1)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fxse90sfedeoetpesv5rpc5apvard0zsad&quot;&gt;My EndNote Library ACIPC&lt;record-ids&gt;&lt;item&gt;3&lt;/item&gt;&lt;item&gt;4&lt;/item&gt;&lt;item&gt;5&lt;/item&gt;&lt;item&gt;6&lt;/item&gt;&lt;item&gt;18&lt;/item&gt;&lt;/record-ids&gt;&lt;/item&gt;&lt;/Libraries&gt;"/>
  </w:docVars>
  <w:rsids>
    <w:rsidRoot w:val="00DB7C2F"/>
    <w:rsid w:val="00010857"/>
    <w:rsid w:val="000243AD"/>
    <w:rsid w:val="000409B5"/>
    <w:rsid w:val="00056CD7"/>
    <w:rsid w:val="0006216E"/>
    <w:rsid w:val="000632AF"/>
    <w:rsid w:val="0007061C"/>
    <w:rsid w:val="00075506"/>
    <w:rsid w:val="00081D60"/>
    <w:rsid w:val="000A487B"/>
    <w:rsid w:val="000A4C99"/>
    <w:rsid w:val="000C6A6A"/>
    <w:rsid w:val="000D2211"/>
    <w:rsid w:val="00116968"/>
    <w:rsid w:val="00123F8F"/>
    <w:rsid w:val="001268F3"/>
    <w:rsid w:val="00162E29"/>
    <w:rsid w:val="001A427B"/>
    <w:rsid w:val="001D38C4"/>
    <w:rsid w:val="002111A5"/>
    <w:rsid w:val="002168AA"/>
    <w:rsid w:val="00223016"/>
    <w:rsid w:val="00224061"/>
    <w:rsid w:val="0026131A"/>
    <w:rsid w:val="002814E8"/>
    <w:rsid w:val="00286D4A"/>
    <w:rsid w:val="002A15DC"/>
    <w:rsid w:val="002A3C8E"/>
    <w:rsid w:val="002B4DBC"/>
    <w:rsid w:val="002C19D9"/>
    <w:rsid w:val="002D0403"/>
    <w:rsid w:val="002D6760"/>
    <w:rsid w:val="002F1F3E"/>
    <w:rsid w:val="002F3167"/>
    <w:rsid w:val="003024C9"/>
    <w:rsid w:val="00304B02"/>
    <w:rsid w:val="00305E1A"/>
    <w:rsid w:val="0031208C"/>
    <w:rsid w:val="00325B6D"/>
    <w:rsid w:val="00325E5C"/>
    <w:rsid w:val="00334C3D"/>
    <w:rsid w:val="00353B60"/>
    <w:rsid w:val="003611E4"/>
    <w:rsid w:val="00377A23"/>
    <w:rsid w:val="003938E8"/>
    <w:rsid w:val="0039678C"/>
    <w:rsid w:val="003A0154"/>
    <w:rsid w:val="003A40C9"/>
    <w:rsid w:val="003B591F"/>
    <w:rsid w:val="003D4E0E"/>
    <w:rsid w:val="003D6DBC"/>
    <w:rsid w:val="00401BBA"/>
    <w:rsid w:val="00404964"/>
    <w:rsid w:val="00417376"/>
    <w:rsid w:val="00422498"/>
    <w:rsid w:val="00444E7F"/>
    <w:rsid w:val="00445830"/>
    <w:rsid w:val="00453A52"/>
    <w:rsid w:val="00454089"/>
    <w:rsid w:val="00460810"/>
    <w:rsid w:val="00461A83"/>
    <w:rsid w:val="004630DB"/>
    <w:rsid w:val="0046402D"/>
    <w:rsid w:val="00497863"/>
    <w:rsid w:val="004A6C91"/>
    <w:rsid w:val="004B11CB"/>
    <w:rsid w:val="004D22FC"/>
    <w:rsid w:val="004D42F2"/>
    <w:rsid w:val="004F179D"/>
    <w:rsid w:val="004F582B"/>
    <w:rsid w:val="005015FA"/>
    <w:rsid w:val="005070F4"/>
    <w:rsid w:val="005233A7"/>
    <w:rsid w:val="00534C15"/>
    <w:rsid w:val="0057613F"/>
    <w:rsid w:val="00576F5D"/>
    <w:rsid w:val="00580984"/>
    <w:rsid w:val="00582342"/>
    <w:rsid w:val="005851B7"/>
    <w:rsid w:val="00590DAC"/>
    <w:rsid w:val="005B7B79"/>
    <w:rsid w:val="005E01DE"/>
    <w:rsid w:val="005E02A6"/>
    <w:rsid w:val="005E05CB"/>
    <w:rsid w:val="005E694A"/>
    <w:rsid w:val="005E7F3F"/>
    <w:rsid w:val="006068B3"/>
    <w:rsid w:val="006102AB"/>
    <w:rsid w:val="00614C2C"/>
    <w:rsid w:val="00620AC0"/>
    <w:rsid w:val="0062175C"/>
    <w:rsid w:val="006227AC"/>
    <w:rsid w:val="00647E2D"/>
    <w:rsid w:val="006665E4"/>
    <w:rsid w:val="0067504F"/>
    <w:rsid w:val="00690521"/>
    <w:rsid w:val="006B3B0B"/>
    <w:rsid w:val="006C20B6"/>
    <w:rsid w:val="006C749F"/>
    <w:rsid w:val="006D36E8"/>
    <w:rsid w:val="006E661F"/>
    <w:rsid w:val="006E733C"/>
    <w:rsid w:val="007005C3"/>
    <w:rsid w:val="0070299F"/>
    <w:rsid w:val="0070603A"/>
    <w:rsid w:val="007071C4"/>
    <w:rsid w:val="00712049"/>
    <w:rsid w:val="00717F71"/>
    <w:rsid w:val="0072274A"/>
    <w:rsid w:val="0074358D"/>
    <w:rsid w:val="007642F2"/>
    <w:rsid w:val="0076430B"/>
    <w:rsid w:val="00766DB9"/>
    <w:rsid w:val="00775AD4"/>
    <w:rsid w:val="00775BBC"/>
    <w:rsid w:val="007814B7"/>
    <w:rsid w:val="007A62D5"/>
    <w:rsid w:val="007A6B20"/>
    <w:rsid w:val="007B122A"/>
    <w:rsid w:val="007B4F52"/>
    <w:rsid w:val="007D4C7F"/>
    <w:rsid w:val="007F46AE"/>
    <w:rsid w:val="00810A13"/>
    <w:rsid w:val="00815D12"/>
    <w:rsid w:val="008466BF"/>
    <w:rsid w:val="00856BA6"/>
    <w:rsid w:val="00862B69"/>
    <w:rsid w:val="00864171"/>
    <w:rsid w:val="00885D81"/>
    <w:rsid w:val="00896275"/>
    <w:rsid w:val="008A3C75"/>
    <w:rsid w:val="008D4A1C"/>
    <w:rsid w:val="008F001D"/>
    <w:rsid w:val="008F1B38"/>
    <w:rsid w:val="00901AFC"/>
    <w:rsid w:val="0094228D"/>
    <w:rsid w:val="00944662"/>
    <w:rsid w:val="00973F82"/>
    <w:rsid w:val="009770E5"/>
    <w:rsid w:val="009801FA"/>
    <w:rsid w:val="00980C20"/>
    <w:rsid w:val="00980F39"/>
    <w:rsid w:val="009D21E8"/>
    <w:rsid w:val="009E4DCD"/>
    <w:rsid w:val="009E672C"/>
    <w:rsid w:val="009F172E"/>
    <w:rsid w:val="009F76C1"/>
    <w:rsid w:val="00A15158"/>
    <w:rsid w:val="00A16302"/>
    <w:rsid w:val="00A20BB3"/>
    <w:rsid w:val="00A20DCE"/>
    <w:rsid w:val="00A272CE"/>
    <w:rsid w:val="00A3044D"/>
    <w:rsid w:val="00A43485"/>
    <w:rsid w:val="00A448D2"/>
    <w:rsid w:val="00A53C26"/>
    <w:rsid w:val="00A53D6B"/>
    <w:rsid w:val="00A578F4"/>
    <w:rsid w:val="00A63052"/>
    <w:rsid w:val="00A860DA"/>
    <w:rsid w:val="00AA13F6"/>
    <w:rsid w:val="00AA4745"/>
    <w:rsid w:val="00AA6164"/>
    <w:rsid w:val="00AE6E3D"/>
    <w:rsid w:val="00B2644F"/>
    <w:rsid w:val="00B270D7"/>
    <w:rsid w:val="00B404A2"/>
    <w:rsid w:val="00B54CBA"/>
    <w:rsid w:val="00B634DD"/>
    <w:rsid w:val="00B74EF0"/>
    <w:rsid w:val="00B8184B"/>
    <w:rsid w:val="00B83564"/>
    <w:rsid w:val="00B83E8A"/>
    <w:rsid w:val="00B932A1"/>
    <w:rsid w:val="00B94EE3"/>
    <w:rsid w:val="00BC006B"/>
    <w:rsid w:val="00BE6A60"/>
    <w:rsid w:val="00C06A4B"/>
    <w:rsid w:val="00C643B9"/>
    <w:rsid w:val="00C7337E"/>
    <w:rsid w:val="00C734E8"/>
    <w:rsid w:val="00C911E5"/>
    <w:rsid w:val="00C9748F"/>
    <w:rsid w:val="00CA3CD9"/>
    <w:rsid w:val="00CA5E29"/>
    <w:rsid w:val="00D02616"/>
    <w:rsid w:val="00D1418C"/>
    <w:rsid w:val="00D236CD"/>
    <w:rsid w:val="00D23716"/>
    <w:rsid w:val="00D265ED"/>
    <w:rsid w:val="00D355C6"/>
    <w:rsid w:val="00D4059C"/>
    <w:rsid w:val="00D44226"/>
    <w:rsid w:val="00D45E33"/>
    <w:rsid w:val="00D72045"/>
    <w:rsid w:val="00D7314C"/>
    <w:rsid w:val="00D95239"/>
    <w:rsid w:val="00DB1592"/>
    <w:rsid w:val="00DB38E5"/>
    <w:rsid w:val="00DB54B9"/>
    <w:rsid w:val="00DB7C2F"/>
    <w:rsid w:val="00DC1B7C"/>
    <w:rsid w:val="00DD146B"/>
    <w:rsid w:val="00DD6C0B"/>
    <w:rsid w:val="00DE1972"/>
    <w:rsid w:val="00DE488D"/>
    <w:rsid w:val="00DE7DFA"/>
    <w:rsid w:val="00E335D4"/>
    <w:rsid w:val="00E34A37"/>
    <w:rsid w:val="00E54336"/>
    <w:rsid w:val="00E623E8"/>
    <w:rsid w:val="00E75FDE"/>
    <w:rsid w:val="00E82CD6"/>
    <w:rsid w:val="00E87E89"/>
    <w:rsid w:val="00EA6859"/>
    <w:rsid w:val="00EA6A6C"/>
    <w:rsid w:val="00EB39F4"/>
    <w:rsid w:val="00EC497B"/>
    <w:rsid w:val="00EE637E"/>
    <w:rsid w:val="00F07033"/>
    <w:rsid w:val="00F127C7"/>
    <w:rsid w:val="00F22A21"/>
    <w:rsid w:val="00F277E0"/>
    <w:rsid w:val="00F33F1C"/>
    <w:rsid w:val="00F367C7"/>
    <w:rsid w:val="00F47F38"/>
    <w:rsid w:val="00F51DC9"/>
    <w:rsid w:val="00F61E0D"/>
    <w:rsid w:val="00F63DF5"/>
    <w:rsid w:val="00F73D9A"/>
    <w:rsid w:val="00F80D33"/>
    <w:rsid w:val="00F915C3"/>
    <w:rsid w:val="00F92AF5"/>
    <w:rsid w:val="00FB1B89"/>
    <w:rsid w:val="00FB7502"/>
    <w:rsid w:val="00FD0C93"/>
    <w:rsid w:val="00FD1B53"/>
    <w:rsid w:val="00FE256D"/>
    <w:rsid w:val="00FE36A1"/>
    <w:rsid w:val="00FE6E1F"/>
    <w:rsid w:val="00FF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DCCCF9"/>
  <w15:docId w15:val="{20D622C8-1533-7A4D-A0EC-44CA74633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C15"/>
    <w:pPr>
      <w:spacing w:after="240" w:line="276" w:lineRule="auto"/>
    </w:pPr>
    <w:rPr>
      <w:lang w:val="en-US" w:eastAsia="en-US"/>
    </w:rPr>
  </w:style>
  <w:style w:type="paragraph" w:styleId="Heading1">
    <w:name w:val="heading 1"/>
    <w:basedOn w:val="Heading2"/>
    <w:next w:val="Normal"/>
    <w:link w:val="Heading1Char"/>
    <w:qFormat/>
    <w:locked/>
    <w:rsid w:val="00DC1B7C"/>
    <w:pPr>
      <w:pBdr>
        <w:bottom w:val="single" w:sz="4" w:space="1" w:color="auto"/>
      </w:pBdr>
      <w:outlineLvl w:val="0"/>
    </w:pPr>
  </w:style>
  <w:style w:type="paragraph" w:styleId="Heading2">
    <w:name w:val="heading 2"/>
    <w:next w:val="Normal"/>
    <w:link w:val="Heading2Char"/>
    <w:unhideWhenUsed/>
    <w:qFormat/>
    <w:locked/>
    <w:rsid w:val="00DC1B7C"/>
    <w:pPr>
      <w:spacing w:before="240" w:line="360" w:lineRule="auto"/>
      <w:outlineLvl w:val="1"/>
    </w:pPr>
    <w:rPr>
      <w:rFonts w:asciiTheme="minorHAnsi" w:hAnsiTheme="minorHAnsi" w:cstheme="minorHAnsi"/>
      <w:b/>
      <w:sz w:val="28"/>
      <w:szCs w:val="28"/>
      <w:lang w:val="en-US" w:eastAsia="en-US"/>
    </w:rPr>
  </w:style>
  <w:style w:type="paragraph" w:styleId="Heading3">
    <w:name w:val="heading 3"/>
    <w:basedOn w:val="Heading2"/>
    <w:next w:val="Normal"/>
    <w:link w:val="Heading3Char"/>
    <w:unhideWhenUsed/>
    <w:qFormat/>
    <w:locked/>
    <w:rsid w:val="00DC1B7C"/>
    <w:pPr>
      <w:spacing w:before="120" w:after="120" w:line="240" w:lineRule="auto"/>
      <w:outlineLvl w:val="2"/>
    </w:pPr>
    <w:rPr>
      <w:sz w:val="22"/>
      <w:szCs w:val="22"/>
    </w:rPr>
  </w:style>
  <w:style w:type="paragraph" w:styleId="Heading4">
    <w:name w:val="heading 4"/>
    <w:basedOn w:val="Heading2"/>
    <w:next w:val="Normal"/>
    <w:link w:val="Heading4Char"/>
    <w:unhideWhenUsed/>
    <w:qFormat/>
    <w:locked/>
    <w:rsid w:val="00534C15"/>
    <w:pPr>
      <w:spacing w:before="120" w:after="120" w:line="240" w:lineRule="auto"/>
      <w:ind w:left="284"/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34C15"/>
    <w:pPr>
      <w:spacing w:before="120" w:after="120" w:line="240" w:lineRule="auto"/>
    </w:pPr>
  </w:style>
  <w:style w:type="paragraph" w:styleId="Header">
    <w:name w:val="header"/>
    <w:basedOn w:val="Normal"/>
    <w:link w:val="HeaderChar"/>
    <w:uiPriority w:val="99"/>
    <w:semiHidden/>
    <w:rsid w:val="00E33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335D4"/>
    <w:rPr>
      <w:rFonts w:cs="Times New Roman"/>
      <w:lang w:val="en-AU"/>
    </w:rPr>
  </w:style>
  <w:style w:type="paragraph" w:styleId="Footer">
    <w:name w:val="footer"/>
    <w:basedOn w:val="Normal"/>
    <w:link w:val="FooterChar"/>
    <w:uiPriority w:val="99"/>
    <w:rsid w:val="00E33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335D4"/>
    <w:rPr>
      <w:rFonts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E3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35D4"/>
    <w:rPr>
      <w:rFonts w:ascii="Tahoma" w:hAnsi="Tahoma" w:cs="Tahoma"/>
      <w:sz w:val="16"/>
      <w:szCs w:val="16"/>
      <w:lang w:val="en-AU"/>
    </w:rPr>
  </w:style>
  <w:style w:type="table" w:styleId="TableGrid">
    <w:name w:val="Table Grid"/>
    <w:basedOn w:val="TableNormal"/>
    <w:uiPriority w:val="99"/>
    <w:rsid w:val="00E335D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33A7"/>
    <w:pPr>
      <w:numPr>
        <w:numId w:val="12"/>
      </w:numPr>
      <w:spacing w:before="120" w:after="120"/>
      <w:ind w:left="425" w:hanging="425"/>
    </w:pPr>
  </w:style>
  <w:style w:type="character" w:customStyle="1" w:styleId="Heading1Char">
    <w:name w:val="Heading 1 Char"/>
    <w:basedOn w:val="DefaultParagraphFont"/>
    <w:link w:val="Heading1"/>
    <w:rsid w:val="00DC1B7C"/>
    <w:rPr>
      <w:rFonts w:asciiTheme="minorHAnsi" w:hAnsiTheme="minorHAnsi" w:cstheme="minorHAnsi"/>
      <w:b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DC1B7C"/>
    <w:rPr>
      <w:rFonts w:asciiTheme="minorHAnsi" w:hAnsiTheme="minorHAnsi" w:cstheme="minorHAnsi"/>
      <w:b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DC1B7C"/>
    <w:rPr>
      <w:rFonts w:asciiTheme="minorHAnsi" w:hAnsiTheme="minorHAnsi" w:cstheme="minorHAnsi"/>
      <w:b/>
      <w:lang w:val="en-US" w:eastAsia="en-US"/>
    </w:rPr>
  </w:style>
  <w:style w:type="table" w:styleId="PlainTable5">
    <w:name w:val="Plain Table 5"/>
    <w:basedOn w:val="TableNormal"/>
    <w:uiPriority w:val="45"/>
    <w:rsid w:val="0045408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rsid w:val="00534C15"/>
    <w:rPr>
      <w:rFonts w:asciiTheme="minorHAnsi" w:hAnsiTheme="minorHAnsi" w:cstheme="minorHAnsi"/>
      <w:b/>
      <w:sz w:val="20"/>
      <w:szCs w:val="20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4C15"/>
    <w:rPr>
      <w:lang w:val="en-US" w:eastAsia="en-US"/>
    </w:rPr>
  </w:style>
  <w:style w:type="paragraph" w:styleId="Title">
    <w:name w:val="Title"/>
    <w:next w:val="Normal"/>
    <w:link w:val="TitleChar"/>
    <w:qFormat/>
    <w:locked/>
    <w:rsid w:val="00DC1B7C"/>
    <w:pPr>
      <w:spacing w:before="120" w:after="120" w:line="300" w:lineRule="auto"/>
      <w:jc w:val="right"/>
    </w:pPr>
    <w:rPr>
      <w:rFonts w:ascii="Arial" w:hAnsi="Arial" w:cs="Arial"/>
      <w:b/>
      <w:color w:val="31849B"/>
      <w:sz w:val="44"/>
      <w:szCs w:val="44"/>
      <w:lang w:val="en-US" w:eastAsia="en-US"/>
    </w:rPr>
  </w:style>
  <w:style w:type="character" w:customStyle="1" w:styleId="TitleChar">
    <w:name w:val="Title Char"/>
    <w:basedOn w:val="DefaultParagraphFont"/>
    <w:link w:val="Title"/>
    <w:rsid w:val="00DC1B7C"/>
    <w:rPr>
      <w:rFonts w:ascii="Arial" w:hAnsi="Arial" w:cs="Arial"/>
      <w:b/>
      <w:color w:val="31849B"/>
      <w:sz w:val="44"/>
      <w:szCs w:val="44"/>
      <w:lang w:val="en-US" w:eastAsia="en-US"/>
    </w:rPr>
  </w:style>
  <w:style w:type="paragraph" w:styleId="TOC2">
    <w:name w:val="toc 2"/>
    <w:basedOn w:val="Normal"/>
    <w:next w:val="Normal"/>
    <w:autoRedefine/>
    <w:locked/>
    <w:rsid w:val="00A448D2"/>
    <w:pPr>
      <w:spacing w:after="100"/>
      <w:ind w:left="220"/>
    </w:pPr>
  </w:style>
  <w:style w:type="paragraph" w:customStyle="1" w:styleId="EndNoteBibliographyTitle">
    <w:name w:val="EndNote Bibliography Title"/>
    <w:basedOn w:val="Normal"/>
    <w:link w:val="EndNoteBibliographyTitleChar"/>
    <w:rsid w:val="003B591F"/>
    <w:pPr>
      <w:spacing w:after="0"/>
      <w:jc w:val="center"/>
    </w:pPr>
    <w:rPr>
      <w:rFonts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B591F"/>
    <w:rPr>
      <w:rFonts w:cs="Calibri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3B591F"/>
    <w:pPr>
      <w:spacing w:line="240" w:lineRule="auto"/>
    </w:pPr>
    <w:rPr>
      <w:rFonts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3B591F"/>
    <w:rPr>
      <w:rFonts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66657FF37C1C43A151EF84B8C13B3F" ma:contentTypeVersion="0" ma:contentTypeDescription="Create a new document." ma:contentTypeScope="" ma:versionID="1ad5abef842be2c9895fed5bd07d18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764bea3eb9b1a5be8fd57fac5fb45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46CDEB-FBD6-4653-8D09-40A4C6ADEE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8950DD-CD4A-465A-9094-2239A80BEA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AA689A4-318B-4A3E-B954-90EB7C0E23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6C2617-6BF6-46BE-BD16-D403C13D3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Position Statement (6).dotx</Template>
  <TotalTime>84</TotalTime>
  <Pages>4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Meeting Date:</vt:lpstr>
    </vt:vector>
  </TitlesOfParts>
  <Company>ACIPC</Company>
  <LinksUpToDate>false</LinksUpToDate>
  <CharactersWithSpaces>12237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Meeting Date:</dc:title>
  <dc:creator>Microsoft Office User</dc:creator>
  <cp:lastModifiedBy>Karen McKenna</cp:lastModifiedBy>
  <cp:revision>5</cp:revision>
  <cp:lastPrinted>2020-09-22T06:21:00Z</cp:lastPrinted>
  <dcterms:created xsi:type="dcterms:W3CDTF">2024-03-26T04:11:00Z</dcterms:created>
  <dcterms:modified xsi:type="dcterms:W3CDTF">2024-04-30T00:41:00Z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0x010100C766657FF37C1C43A151EF84B8C13B3F</vt:lpwstr>
  </property>
  <property fmtid="{D5CDD505-2E9C-101B-9397-08002B2CF9AE}" pid="3" name="MediaServiceImageTags">
    <vt:lpwstr/>
  </property>
  <property fmtid="{D5CDD505-2E9C-101B-9397-08002B2CF9AE}" pid="4" name="GrammarlyDocumentId">
    <vt:lpwstr>765934edc9cd4f8b5a702f92f911bebc3806b4ed7ad5b0d66ede73e8dc977863</vt:lpwstr>
  </property>
</Properties>
</file>